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  <w:t>АДМИНИСТРАЦИЯ ТЕРНОВСКОГО СЕЛЬСКОГО ПОСЕЛЕНИЯ ОСТРОГОЖСКОГО МУНИЦИПАЛЬНОГО РАЙОНА ВОРОНЕЖСКОЙ ОБЛАСТИ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</w:p>
    <w:p w:rsidR="00D42B95" w:rsidRDefault="00D42B95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 О С Т А Н О В Л Е Н И Е</w:t>
      </w:r>
    </w:p>
    <w:p w:rsidR="00C35758" w:rsidRPr="00D42B95" w:rsidRDefault="00C35758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2C705A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>25</w:t>
      </w:r>
      <w:r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  <w:r w:rsidR="003B164E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2C705A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декабря  </w:t>
      </w:r>
      <w:r w:rsidR="00AD6EEF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>202</w:t>
      </w:r>
      <w:r w:rsidR="00834294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>4</w:t>
      </w:r>
      <w:r w:rsidR="00C458A1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г. </w:t>
      </w:r>
      <w:r w:rsidR="002C705A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</w:t>
      </w:r>
      <w:r w:rsidR="00C458A1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>№</w:t>
      </w:r>
      <w:r w:rsidR="002C705A" w:rsidRPr="002C705A">
        <w:rPr>
          <w:rFonts w:ascii="Arial" w:eastAsia="Times New Roman" w:hAnsi="Arial" w:cs="Arial"/>
          <w:kern w:val="28"/>
          <w:sz w:val="24"/>
          <w:szCs w:val="24"/>
          <w:lang w:eastAsia="ru-RU"/>
        </w:rPr>
        <w:t>79</w:t>
      </w:r>
      <w:r w:rsidR="00C458A1" w:rsidRPr="0083429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с. Терновое</w:t>
      </w:r>
    </w:p>
    <w:p w:rsidR="00EF42C9" w:rsidRPr="00D324A6" w:rsidRDefault="00D42B95" w:rsidP="00EF42C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35758">
        <w:rPr>
          <w:rFonts w:ascii="Arial" w:hAnsi="Arial" w:cs="Arial"/>
          <w:sz w:val="24"/>
          <w:szCs w:val="24"/>
          <w:lang w:eastAsia="ru-RU"/>
        </w:rPr>
        <w:t xml:space="preserve">         </w:t>
      </w:r>
      <w:bookmarkStart w:id="0" w:name="_GoBack"/>
      <w:r w:rsidR="00C35758" w:rsidRPr="00D324A6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«Обеспечение решения вопросов местного  значения Терновского   сельского поселения</w:t>
      </w:r>
      <w:r w:rsidR="00235BBB" w:rsidRPr="00D324A6">
        <w:rPr>
          <w:rFonts w:ascii="Arial" w:hAnsi="Arial" w:cs="Arial"/>
          <w:sz w:val="24"/>
          <w:szCs w:val="24"/>
          <w:lang w:eastAsia="ru-RU"/>
        </w:rPr>
        <w:t>»</w:t>
      </w:r>
      <w:r w:rsidR="00EF42C9" w:rsidRPr="00D324A6">
        <w:rPr>
          <w:rFonts w:ascii="Arial" w:hAnsi="Arial" w:cs="Arial"/>
          <w:sz w:val="24"/>
          <w:szCs w:val="24"/>
          <w:lang w:eastAsia="ru-RU"/>
        </w:rPr>
        <w:t xml:space="preserve">, утвержденную постановлением </w:t>
      </w:r>
      <w:r w:rsidR="00EF42C9" w:rsidRPr="00D324A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21 марта 2014 г. №19 </w:t>
      </w:r>
      <w:bookmarkEnd w:id="0"/>
    </w:p>
    <w:p w:rsidR="00D42B95" w:rsidRPr="00BE2C84" w:rsidRDefault="00C35758" w:rsidP="00D42B9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2B95" w:rsidRPr="00C3575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(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proofErr w:type="spellStart"/>
      <w:proofErr w:type="gram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ред</w:t>
      </w:r>
      <w:proofErr w:type="spellEnd"/>
      <w:proofErr w:type="gramEnd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 №25 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21.05.2014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г.от</w:t>
      </w:r>
      <w:proofErr w:type="spellEnd"/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02.03.2015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№4,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25.11.2015г.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№41,от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10.03.2016г. №22,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18.11.2016г.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№88, от 20.11.2017г. №44, от 06.02.2018г. №7, от 11.02.2019г. №3, от 16.04.2019г. №14, от 03.02.2020г. №2, от 24.04.2020г. №8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01.02.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2021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№1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22.07.2021 г.№17, от 13.09.2021 г. №23, от 29.12.2021 г. №52, от 09.06.2022 г. №19</w:t>
      </w:r>
      <w:r w:rsidR="008342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29.12.2022 №76, от 25.06.2023г. №40, от 25.12.2023г. №78</w:t>
      </w:r>
      <w:r w:rsidR="002C705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2C705A" w:rsidRPr="002C705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C705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26.04.2024г. №20, от 05.11.2024г. №39</w:t>
      </w:r>
      <w:proofErr w:type="gramStart"/>
      <w:r w:rsidR="002C705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proofErr w:type="gramEnd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Терновского сельского поселения от 12.11.2013г. №53 «Об утверждении порядка принятия решений о разработке муниципальных программ Терновского сельского поселения, их формирования и реализации» администрация Терновского сельского поселения 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 О С Т А Н О В Л Я Е Т :</w:t>
      </w:r>
    </w:p>
    <w:p w:rsidR="00EF42C9" w:rsidRDefault="00EF42C9" w:rsidP="00EF42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2C9" w:rsidRDefault="00EF42C9" w:rsidP="00EF42C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изменения и дополнения в муниципальную программу «Обеспечение решения вопросов местного значения  </w:t>
      </w:r>
      <w:r w:rsidR="008B2EEC">
        <w:rPr>
          <w:rFonts w:ascii="Arial" w:hAnsi="Arial" w:cs="Arial"/>
          <w:sz w:val="24"/>
          <w:szCs w:val="24"/>
          <w:lang w:eastAsia="ru-RU"/>
        </w:rPr>
        <w:t xml:space="preserve">Терновского 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поселения», утвержденную постановлением  от 21.03.2014 г. № 19  и изложить ее в новой редакции согласно приложению 1.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AA2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 сельского поселения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35758">
        <w:rPr>
          <w:rFonts w:ascii="Arial" w:eastAsia="Times New Roman" w:hAnsi="Arial" w:cs="Arial"/>
          <w:sz w:val="24"/>
          <w:szCs w:val="24"/>
          <w:lang w:eastAsia="ru-RU"/>
        </w:rPr>
        <w:t xml:space="preserve">    В.В. Черникова 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D42B95" w:rsidRPr="00D42B95" w:rsidRDefault="00C458A1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29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3B164E" w:rsidRPr="0083429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152E7">
        <w:rPr>
          <w:rFonts w:ascii="Arial" w:eastAsia="Times New Roman" w:hAnsi="Arial" w:cs="Arial"/>
          <w:sz w:val="24"/>
          <w:szCs w:val="24"/>
          <w:lang w:eastAsia="ru-RU"/>
        </w:rPr>
        <w:t xml:space="preserve">25 </w:t>
      </w:r>
      <w:r w:rsidRPr="0083429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A62F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152E7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AA6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164E" w:rsidRPr="00834294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34294" w:rsidRPr="0083429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164E" w:rsidRPr="0083429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34294">
        <w:rPr>
          <w:rFonts w:ascii="Arial" w:eastAsia="Times New Roman" w:hAnsi="Arial" w:cs="Arial"/>
          <w:sz w:val="24"/>
          <w:szCs w:val="24"/>
          <w:lang w:eastAsia="ru-RU"/>
        </w:rPr>
        <w:t>.№</w:t>
      </w:r>
      <w:r w:rsidR="008152E7">
        <w:rPr>
          <w:rFonts w:ascii="Arial" w:eastAsia="Times New Roman" w:hAnsi="Arial" w:cs="Arial"/>
          <w:sz w:val="24"/>
          <w:szCs w:val="24"/>
          <w:lang w:eastAsia="ru-RU"/>
        </w:rPr>
        <w:t>79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D42B95" w:rsidRPr="00D42B95" w:rsidRDefault="00CD0B37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5461"/>
        <w:gridCol w:w="2234"/>
      </w:tblGrid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«Терновской сельский культурно-досуговый центр»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111ED4" w:rsidRDefault="00111ED4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tabs>
          <w:tab w:val="left" w:pos="4245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111ED4" w:rsidRDefault="00D42B95" w:rsidP="00111ED4">
      <w:pPr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111E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1797"/>
        <w:tblW w:w="11809" w:type="dxa"/>
        <w:tblLayout w:type="fixed"/>
        <w:tblLook w:val="00A0" w:firstRow="1" w:lastRow="0" w:firstColumn="1" w:lastColumn="0" w:noHBand="0" w:noVBand="0"/>
      </w:tblPr>
      <w:tblGrid>
        <w:gridCol w:w="11337"/>
        <w:gridCol w:w="236"/>
        <w:gridCol w:w="236"/>
      </w:tblGrid>
      <w:tr w:rsidR="00D42B95" w:rsidRPr="00D42B95" w:rsidTr="0096587B">
        <w:trPr>
          <w:trHeight w:val="1500"/>
        </w:trPr>
        <w:tc>
          <w:tcPr>
            <w:tcW w:w="1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ПАСПОРТ</w:t>
            </w:r>
          </w:p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муниципальной программы Терновского сельского поселения Острогожского муниципального района Воронежской области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82" w:tblpY="18"/>
        <w:tblW w:w="15418" w:type="dxa"/>
        <w:tblLayout w:type="fixed"/>
        <w:tblLook w:val="00A0" w:firstRow="1" w:lastRow="0" w:firstColumn="1" w:lastColumn="0" w:noHBand="0" w:noVBand="0"/>
      </w:tblPr>
      <w:tblGrid>
        <w:gridCol w:w="2376"/>
        <w:gridCol w:w="1277"/>
        <w:gridCol w:w="850"/>
        <w:gridCol w:w="885"/>
        <w:gridCol w:w="850"/>
        <w:gridCol w:w="992"/>
        <w:gridCol w:w="800"/>
        <w:gridCol w:w="764"/>
        <w:gridCol w:w="846"/>
        <w:gridCol w:w="851"/>
        <w:gridCol w:w="850"/>
        <w:gridCol w:w="992"/>
        <w:gridCol w:w="992"/>
        <w:gridCol w:w="1134"/>
        <w:gridCol w:w="959"/>
      </w:tblGrid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Исполнители муниципальной программы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 Терновской сельский культурно-досуговый центр» </w:t>
            </w:r>
          </w:p>
          <w:p w:rsidR="00962B94" w:rsidRPr="00D42B95" w:rsidRDefault="00962B94" w:rsidP="00BD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администрации Терновского сельского поселения по решению вопросов местного значения</w:t>
            </w:r>
          </w:p>
          <w:p w:rsidR="00962B94" w:rsidRPr="00D42B95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муниципального казённого учреждения « Терновской сельский культурно-досуговый центр»</w:t>
            </w: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Цель муниципальной программы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962B94" w:rsidRPr="00D42B95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Задачи муниципальной программы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2B94" w:rsidRPr="00D42B95" w:rsidRDefault="00962B94" w:rsidP="00BD72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2B94" w:rsidRPr="00D42B95" w:rsidRDefault="00962B94" w:rsidP="00BD72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2B94" w:rsidRPr="00D42B95" w:rsidRDefault="00962B94" w:rsidP="00BD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962B94" w:rsidP="00BD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Объемы и источники финансирования муниципальной программы за счёт средств бюджета 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поселения и прогнозная оценка расходов из бюджетов вышестоящих уровней, внебюджетных источников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BD7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113887,5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962B94" w:rsidRPr="00D42B95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7D6B41" w:rsidRPr="007D6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BD7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3463,3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962B94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  <w:p w:rsidR="00962B94" w:rsidRPr="00D42B95" w:rsidRDefault="00962B94" w:rsidP="00BD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B94" w:rsidRPr="00D42B95" w:rsidTr="00BD72E8">
        <w:trPr>
          <w:trHeight w:val="160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2B94" w:rsidRDefault="007D6B41" w:rsidP="00BD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962B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962B94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B94" w:rsidRPr="00D42B95" w:rsidTr="00BD72E8">
        <w:trPr>
          <w:trHeight w:val="135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4D395E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4D0285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4D395E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7D6B41" w:rsidP="00BD7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D395E">
              <w:rPr>
                <w:rFonts w:ascii="Arial" w:eastAsia="Times New Roman" w:hAnsi="Arial" w:cs="Arial"/>
                <w:sz w:val="24"/>
                <w:szCs w:val="24"/>
              </w:rPr>
              <w:t>163,8</w:t>
            </w:r>
          </w:p>
        </w:tc>
      </w:tr>
      <w:tr w:rsidR="00962B94" w:rsidRPr="00D42B95" w:rsidTr="00BD72E8">
        <w:trPr>
          <w:trHeight w:val="140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4D395E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BD72E8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962B94" w:rsidRPr="00D42B95" w:rsidTr="00BD72E8">
        <w:trPr>
          <w:trHeight w:val="147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4822,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6152,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5971,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6441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9381,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9521,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8428,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4D395E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BD72E8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7D6B41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2240,1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7D6B41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2234,1</w:t>
            </w:r>
          </w:p>
        </w:tc>
      </w:tr>
      <w:tr w:rsidR="00962B94" w:rsidRPr="00D42B95" w:rsidTr="00BD72E8">
        <w:trPr>
          <w:trHeight w:val="163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2B94" w:rsidRPr="00D42B95" w:rsidTr="00BD72E8">
        <w:trPr>
          <w:trHeight w:val="2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11992,8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962B94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Pr="00D42B95" w:rsidRDefault="004D395E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BD72E8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7D6B41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2424,9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B94" w:rsidRDefault="007D6B41" w:rsidP="00BD7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2432,9</w:t>
            </w:r>
          </w:p>
        </w:tc>
      </w:tr>
      <w:tr w:rsidR="00962B94" w:rsidRPr="00D42B95" w:rsidTr="00BD72E8">
        <w:trPr>
          <w:trHeight w:val="11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30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2B94" w:rsidRPr="00D42B95" w:rsidRDefault="00962B94" w:rsidP="00BD7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 Укрепление материально-технической базы по исполнению полномочий органов местного самоуправления. 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433" w:rsidRDefault="00B35433" w:rsidP="00F31B42">
      <w:pPr>
        <w:framePr w:w="16625" w:wrap="auto" w:hAnchor="text" w:x="156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35433" w:rsidSect="00B35433">
          <w:pgSz w:w="16838" w:h="11906" w:orient="landscape"/>
          <w:pgMar w:top="1701" w:right="2268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 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Терновском сельском поселении два населенных пункта с населением 715 человек.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действуют: МКОУ «Терновская ООШ», Терновской ФАП,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Ездоченский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ФАП, ООО «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АгроМолоко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», магазины.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Терновского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Ряд этих проблем носят с</w:t>
      </w:r>
      <w:r w:rsidR="006E7B34">
        <w:rPr>
          <w:rFonts w:ascii="Arial" w:eastAsia="Times New Roman" w:hAnsi="Arial" w:cs="Arial"/>
          <w:sz w:val="24"/>
          <w:szCs w:val="24"/>
          <w:lang w:eastAsia="ru-RU"/>
        </w:rPr>
        <w:t>истемный характер. На 01.01.2024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г. в сельском поселении доля общей протяженности освещенных частей улиц, проездов, к общей протяженности улиц, проездов составила 38,2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Жилищно- 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</w:t>
      </w:r>
      <w:r w:rsidR="006E7B34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 требованиям, в 2024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составила 45%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D42B95" w:rsidRPr="00D42B95" w:rsidRDefault="00D42B95" w:rsidP="00400D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улучше</w:t>
      </w:r>
      <w:r w:rsidR="00400DEB">
        <w:rPr>
          <w:rFonts w:ascii="Arial" w:eastAsia="Times New Roman" w:hAnsi="Arial" w:cs="Arial"/>
          <w:sz w:val="24"/>
          <w:szCs w:val="24"/>
          <w:lang w:eastAsia="ru-RU"/>
        </w:rPr>
        <w:t xml:space="preserve">ние экологической и социальной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обстановки и т.д.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задач, сгруппированных по основным направлениям программы: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Терновского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период с 2014 по </w:t>
      </w:r>
      <w:r w:rsidR="00400DEB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______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_________* 100%,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 – С в – С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– С п г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н –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 – общий объем доходов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в – общий объем субвенций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___* 100%,  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Терновского сельского поселения по решению вопросов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Терновского сельского поселения по решению вопросов местного значения».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«Терновской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в рамках проекта бюджета на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00DE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400DEB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00DE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Терновского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- уровень финансирования реализации основных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AA22E3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реализация муниципальной программы не отвечает приведенным выше критериям, уровень эффективности ее реализации п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>ризнается неудовлетворительным.</w:t>
      </w:r>
    </w:p>
    <w:p w:rsidR="00D42B95" w:rsidRPr="00D42B95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B35433" w:rsidRDefault="00D42B95" w:rsidP="00400D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B35433" w:rsidSect="00B35433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Терновского сельского поселения по решению вопросов местного значения»</w:t>
      </w:r>
    </w:p>
    <w:p w:rsidR="00650DA9" w:rsidRPr="00D42B95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680"/>
        <w:tblW w:w="14730" w:type="dxa"/>
        <w:tblLayout w:type="fixed"/>
        <w:tblLook w:val="00A0" w:firstRow="1" w:lastRow="0" w:firstColumn="1" w:lastColumn="0" w:noHBand="0" w:noVBand="0"/>
      </w:tblPr>
      <w:tblGrid>
        <w:gridCol w:w="1384"/>
        <w:gridCol w:w="1275"/>
        <w:gridCol w:w="924"/>
        <w:gridCol w:w="851"/>
        <w:gridCol w:w="850"/>
        <w:gridCol w:w="920"/>
        <w:gridCol w:w="850"/>
        <w:gridCol w:w="851"/>
        <w:gridCol w:w="850"/>
        <w:gridCol w:w="851"/>
        <w:gridCol w:w="919"/>
        <w:gridCol w:w="523"/>
        <w:gridCol w:w="371"/>
        <w:gridCol w:w="29"/>
        <w:gridCol w:w="872"/>
        <w:gridCol w:w="121"/>
        <w:gridCol w:w="1134"/>
        <w:gridCol w:w="21"/>
        <w:gridCol w:w="1113"/>
        <w:gridCol w:w="21"/>
      </w:tblGrid>
      <w:tr w:rsidR="00400DEB" w:rsidRPr="00D42B95" w:rsidTr="009544EC">
        <w:trPr>
          <w:trHeight w:val="1875"/>
        </w:trPr>
        <w:tc>
          <w:tcPr>
            <w:tcW w:w="11048" w:type="dxa"/>
            <w:gridSpan w:val="12"/>
            <w:vAlign w:val="center"/>
            <w:hideMark/>
          </w:tcPr>
          <w:p w:rsidR="00400DEB" w:rsidRPr="00D42B95" w:rsidRDefault="00400DEB" w:rsidP="002B2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по решению вопросов местного значения»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«Обеспечение решения вопросов местного значения Терновского сельского поселения»</w:t>
            </w:r>
          </w:p>
        </w:tc>
        <w:tc>
          <w:tcPr>
            <w:tcW w:w="371" w:type="dxa"/>
          </w:tcPr>
          <w:p w:rsidR="00400DEB" w:rsidRPr="00D42B95" w:rsidRDefault="00400DEB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</w:tcPr>
          <w:p w:rsidR="00400DEB" w:rsidRPr="00D42B95" w:rsidRDefault="00400DEB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400DEB" w:rsidRPr="00D42B95" w:rsidRDefault="00400DEB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00DEB" w:rsidRPr="00D42B95" w:rsidRDefault="00400DEB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0DEB" w:rsidRPr="00D42B95" w:rsidTr="009544EC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Терновского сельского поселения </w:t>
            </w:r>
          </w:p>
        </w:tc>
      </w:tr>
      <w:tr w:rsidR="00400DEB" w:rsidRPr="00D42B95" w:rsidTr="009544EC">
        <w:trPr>
          <w:trHeight w:val="31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программы</w:t>
            </w: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4: Содержание и ремонт автомобильных дорог общего пользования местного значения.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400DEB" w:rsidRPr="00D42B95" w:rsidTr="009544EC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DEB" w:rsidRPr="00D42B95" w:rsidTr="009544EC">
        <w:trPr>
          <w:trHeight w:val="9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вывоза твердых бытовых отходов, устройство контейнерных площадок.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6.Удовлетворение потребности населения в местах для массового отдыха.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400DEB" w:rsidRPr="00D42B95" w:rsidTr="009544EC">
        <w:trPr>
          <w:trHeight w:val="7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400DEB" w:rsidRPr="00D42B95" w:rsidTr="009544EC">
        <w:trPr>
          <w:trHeight w:val="11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муниципальных услуг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                                                                              содержание органов местного самоуправления.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400DEB" w:rsidRPr="00D42B95" w:rsidTr="009544EC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DEB" w:rsidRDefault="00400DEB" w:rsidP="00D95B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965E4B" w:rsidRPr="00D42B95" w:rsidTr="009544EC">
        <w:trPr>
          <w:trHeight w:val="396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34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– </w:t>
            </w:r>
            <w:r w:rsidR="009544EC">
              <w:rPr>
                <w:rFonts w:ascii="Arial" w:eastAsia="Times New Roman" w:hAnsi="Arial" w:cs="Arial"/>
                <w:sz w:val="24"/>
                <w:szCs w:val="24"/>
              </w:rPr>
              <w:t>90094,9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в т. ч. за счет средств бюджета поселения – </w:t>
            </w:r>
            <w:r w:rsidR="009544EC">
              <w:rPr>
                <w:rFonts w:ascii="Arial" w:eastAsia="Times New Roman" w:hAnsi="Arial" w:cs="Arial"/>
                <w:sz w:val="24"/>
                <w:szCs w:val="24"/>
              </w:rPr>
              <w:t>59670,9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B34" w:rsidRDefault="006E7B34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400DEB" w:rsidRPr="00D42B95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400DE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965E4B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6E7B34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965E4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6E7B34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6E7B34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163,8</w:t>
            </w: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2" w:rsidRDefault="008D6BF2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2458,1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2" w:rsidRDefault="008D6BF2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3865,9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2" w:rsidRDefault="008D6BF2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2667,0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F2" w:rsidRDefault="008D6BF2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BD" w:rsidRDefault="001E7EBD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Pr="00D42B95" w:rsidRDefault="001E7EBD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00DEB">
              <w:rPr>
                <w:rFonts w:ascii="Arial" w:eastAsia="Times New Roman" w:hAnsi="Arial" w:cs="Arial"/>
                <w:sz w:val="24"/>
                <w:szCs w:val="24"/>
              </w:rPr>
              <w:t>857,3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F2" w:rsidRDefault="008D6BF2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Pr="00D42B95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EC" w:rsidRDefault="009544EC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DEB" w:rsidRPr="00D42B95" w:rsidRDefault="006E7B34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BD72E8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965E4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DEB" w:rsidRDefault="00400DE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5E4B" w:rsidRDefault="00965E4B" w:rsidP="009544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BD72E8" w:rsidRPr="00D42B95" w:rsidTr="009544EC">
        <w:trPr>
          <w:gridAfter w:val="1"/>
          <w:wAfter w:w="21" w:type="dxa"/>
          <w:trHeight w:val="120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E8" w:rsidRPr="00D42B95" w:rsidRDefault="00BD72E8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D72E8" w:rsidRPr="00D42B95" w:rsidRDefault="00BD72E8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BD72E8" w:rsidRPr="00D42B95" w:rsidRDefault="00BD72E8" w:rsidP="004D02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E8" w:rsidRPr="00D42B95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2751,0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3343,5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4093,0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7501,9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6692,8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6E7B34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BD72E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6E7B34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6E7B34" w:rsidP="009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1734,1</w:t>
            </w: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собственные средства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юридических и физических лиц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0DEB" w:rsidRPr="00D42B95" w:rsidTr="009544EC">
        <w:trPr>
          <w:gridAfter w:val="1"/>
          <w:wAfter w:w="21" w:type="dxa"/>
          <w:trHeight w:val="39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3239,2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8034,2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8D6BF2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00DEB">
              <w:rPr>
                <w:rFonts w:ascii="Arial" w:eastAsia="Times New Roman" w:hAnsi="Arial" w:cs="Arial"/>
                <w:sz w:val="24"/>
                <w:szCs w:val="24"/>
              </w:rPr>
              <w:t>973,6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400DEB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12432,8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Pr="00D42B95" w:rsidRDefault="006E7B34" w:rsidP="006E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12525,3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BD72E8" w:rsidP="00213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6E7B34" w:rsidP="00213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EB" w:rsidRDefault="006E7B34" w:rsidP="00213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1932,9</w:t>
            </w:r>
          </w:p>
        </w:tc>
      </w:tr>
      <w:tr w:rsidR="00965E4B" w:rsidRPr="00D42B95" w:rsidTr="009544EC">
        <w:trPr>
          <w:trHeight w:val="15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3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(4200кв.м);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965E4B" w:rsidRPr="007824EB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Реконструкция и капиталь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ный ремонт водопроводных сетей.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965E4B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ие материально-технической базы</w:t>
            </w:r>
          </w:p>
          <w:p w:rsidR="00965E4B" w:rsidRPr="007824EB" w:rsidRDefault="00965E4B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проведение муниципальных выборов</w:t>
            </w:r>
          </w:p>
          <w:p w:rsidR="00965E4B" w:rsidRPr="00D42B95" w:rsidRDefault="00965E4B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lastRenderedPageBreak/>
              <w:t>По мероприятию 8: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  <w:p w:rsidR="00965E4B" w:rsidRPr="00D42B95" w:rsidRDefault="00965E4B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95B2F">
      <w:pPr>
        <w:framePr w:w="14343" w:wrap="auto" w:hAnchor="text" w:x="1418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9554F" w:rsidSect="00650DA9">
          <w:pgSz w:w="16838" w:h="11906" w:orient="landscape"/>
          <w:pgMar w:top="1418" w:right="2268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Терновском сельском поселении в подпрограмму включены восемь мероприятий. Срок реализации основных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06ED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06ED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измере</w:t>
            </w:r>
            <w:proofErr w:type="spell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информации:КУВО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«Гражданская оборона, защита населения и пожарная безопасность Воронежской области»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парков(4200кв.м);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показателями мероприятия являются: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1312"/>
        <w:gridCol w:w="4678"/>
      </w:tblGrid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 где: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обустроенных мест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Единиц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 информации: органы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D42B9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5528"/>
      </w:tblGrid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– общая протяженность  автомобильных дорог общего пользования местного значения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7: «Деятельность органов местного самоуправления по реализации муниципальной 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5387"/>
      </w:tblGrid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  <w:tr w:rsidR="00C4497E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8: «Деятельность главы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1418"/>
        <w:gridCol w:w="5249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 чел.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1, Приложения к муниципальной программе «Обеспечение решения вопросов местного значения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tbl>
      <w:tblPr>
        <w:tblpPr w:leftFromText="180" w:rightFromText="180" w:vertAnchor="text" w:tblpX="-660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0"/>
        <w:gridCol w:w="2126"/>
        <w:gridCol w:w="2558"/>
      </w:tblGrid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06E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Терновского сельского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06E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96587B">
      <w:pPr>
        <w:framePr w:w="11793" w:wrap="auto" w:hAnchor="text" w:x="2127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F9554F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tblpX="-32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54"/>
        <w:gridCol w:w="1561"/>
        <w:gridCol w:w="2269"/>
        <w:gridCol w:w="2127"/>
      </w:tblGrid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06E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9477F7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06E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06E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Терновского сельского поселения  в сумме </w:t>
      </w:r>
      <w:r w:rsidR="009544EC">
        <w:rPr>
          <w:rFonts w:ascii="Arial" w:eastAsia="Times New Roman" w:hAnsi="Arial" w:cs="Arial"/>
          <w:sz w:val="24"/>
          <w:szCs w:val="24"/>
        </w:rPr>
        <w:t>90094,9</w:t>
      </w:r>
      <w:r w:rsidR="00593C50">
        <w:rPr>
          <w:rFonts w:ascii="Arial" w:eastAsia="Times New Roman" w:hAnsi="Arial" w:cs="Arial"/>
          <w:sz w:val="24"/>
          <w:szCs w:val="24"/>
        </w:rPr>
        <w:t xml:space="preserve">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5 Раздел. «Анализ рисков и описание мер управления рисками при реализации подпрограммы».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9554F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«Терновской сельский культурно-досуговый центр»</w:t>
      </w: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9554F">
          <w:pgSz w:w="11906" w:h="16838"/>
          <w:pgMar w:top="2268" w:right="567" w:bottom="567" w:left="1701" w:header="709" w:footer="709" w:gutter="0"/>
          <w:cols w:space="720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102" w:type="dxa"/>
        <w:jc w:val="center"/>
        <w:tblLayout w:type="fixed"/>
        <w:tblLook w:val="0600" w:firstRow="0" w:lastRow="0" w:firstColumn="0" w:lastColumn="0" w:noHBand="1" w:noVBand="1"/>
      </w:tblPr>
      <w:tblGrid>
        <w:gridCol w:w="2093"/>
        <w:gridCol w:w="1417"/>
        <w:gridCol w:w="884"/>
        <w:gridCol w:w="850"/>
        <w:gridCol w:w="869"/>
        <w:gridCol w:w="930"/>
        <w:gridCol w:w="820"/>
        <w:gridCol w:w="851"/>
        <w:gridCol w:w="140"/>
        <w:gridCol w:w="695"/>
        <w:gridCol w:w="601"/>
        <w:gridCol w:w="171"/>
        <w:gridCol w:w="1023"/>
        <w:gridCol w:w="208"/>
        <w:gridCol w:w="643"/>
        <w:gridCol w:w="326"/>
        <w:gridCol w:w="643"/>
        <w:gridCol w:w="326"/>
        <w:gridCol w:w="643"/>
        <w:gridCol w:w="969"/>
      </w:tblGrid>
      <w:tr w:rsidR="00AD0ABC" w:rsidRPr="00D42B95" w:rsidTr="00AD0ABC">
        <w:trPr>
          <w:trHeight w:val="1875"/>
          <w:jc w:val="center"/>
        </w:trPr>
        <w:tc>
          <w:tcPr>
            <w:tcW w:w="11344" w:type="dxa"/>
            <w:gridSpan w:val="13"/>
            <w:vAlign w:val="center"/>
          </w:tcPr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</w:t>
            </w:r>
          </w:p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учреждений культуры «Терновской сельский культурно-досуговый центр»</w:t>
            </w:r>
          </w:p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 «Обеспечение решения вопрос                                          местного значения Терновского сельского поселения»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AD0ABC" w:rsidRPr="00D42B95" w:rsidRDefault="00AD0ABC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ABC" w:rsidRPr="00D42B95" w:rsidTr="00AD0ABC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«Терновской сельский культурно-досуговый центр»</w:t>
            </w:r>
          </w:p>
        </w:tc>
      </w:tr>
      <w:tr w:rsidR="00FE6E71" w:rsidRPr="00D42B95" w:rsidTr="00FE6E71">
        <w:trPr>
          <w:trHeight w:val="18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E71" w:rsidRPr="00D42B95" w:rsidRDefault="00FE6E71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E6E71" w:rsidRPr="00D42B95" w:rsidRDefault="00FE6E71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Деятельность (оказание услуг) муниципальных учреждений</w:t>
            </w:r>
          </w:p>
        </w:tc>
      </w:tr>
      <w:tr w:rsidR="00AD0ABC" w:rsidRPr="00D42B95" w:rsidTr="00AD0ABC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Терновского сельского поселения.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0ABC" w:rsidRPr="00D42B95" w:rsidTr="00AD0ABC">
        <w:trPr>
          <w:trHeight w:val="27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стабильности оплаты труда сотрудникам учреждения культуры, планомерное увеличение средней по учреждению заработной платы.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AD0ABC" w:rsidRPr="00D42B95" w:rsidTr="00AD0ABC">
        <w:trPr>
          <w:trHeight w:val="112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0ABC" w:rsidRPr="00D42B95" w:rsidTr="00FE6E71">
        <w:trPr>
          <w:trHeight w:val="102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Default="00AD0ABC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D0ABC" w:rsidRPr="00D42B95" w:rsidTr="00AD0ABC">
        <w:trPr>
          <w:trHeight w:val="396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– </w:t>
            </w:r>
            <w:r w:rsidR="009544EC">
              <w:rPr>
                <w:rFonts w:ascii="Arial" w:eastAsia="Times New Roman" w:hAnsi="Arial" w:cs="Arial"/>
                <w:sz w:val="24"/>
                <w:szCs w:val="24"/>
              </w:rPr>
              <w:t>23723,9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в т .ч. за счет средств бюджета поселения – </w:t>
            </w:r>
            <w:r w:rsidR="009544EC">
              <w:rPr>
                <w:rFonts w:ascii="Arial" w:eastAsia="Times New Roman" w:hAnsi="Arial" w:cs="Arial"/>
                <w:sz w:val="24"/>
                <w:szCs w:val="24"/>
              </w:rPr>
              <w:t>23723,9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 Финансирование по годам реализации:</w:t>
            </w: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8534B1" w:rsidRDefault="00AD0ABC" w:rsidP="00D83ED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Default="00AD0ABC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Default="00AD0ABC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Default="00AD0ABC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AD0ABC" w:rsidRPr="00D42B95" w:rsidTr="00AD0ABC">
        <w:trPr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57A55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1839,2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Default="009544E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1929,1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0ABC" w:rsidRPr="00D42B95" w:rsidTr="00AD0ABC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Pr="00D42B95" w:rsidRDefault="00A57A55" w:rsidP="00A57A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1839,2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Default="009544EC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1929,1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ABC" w:rsidRDefault="00AD0ABC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ABC" w:rsidRPr="00D42B95" w:rsidTr="00AD0ABC">
        <w:trPr>
          <w:trHeight w:val="15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00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  <w:tr w:rsidR="00AD0ABC" w:rsidRPr="00D42B95" w:rsidTr="00AD0ABC">
        <w:trPr>
          <w:gridBefore w:val="9"/>
          <w:gridAfter w:val="2"/>
          <w:wBefore w:w="8854" w:type="dxa"/>
          <w:wAfter w:w="1612" w:type="dxa"/>
          <w:trHeight w:val="100"/>
          <w:jc w:val="center"/>
        </w:trPr>
        <w:tc>
          <w:tcPr>
            <w:tcW w:w="1296" w:type="dxa"/>
            <w:gridSpan w:val="2"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3"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AD0ABC" w:rsidRPr="00D42B95" w:rsidRDefault="00AD0ABC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F9554F">
      <w:pPr>
        <w:spacing w:after="0" w:line="240" w:lineRule="auto"/>
        <w:ind w:left="56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территории Терновского сельского поселения осуществляет свою деятельность «Терновской сельский культурно-досуговый центр» который действует в поселении с 1969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ансамбль «Русская песня»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детский ансамбль «Веселые нотки»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клуб «Родничок»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шахматно-шашечный кружок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Остаётся острой 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1. Сохранение стабильности оплаты труда сотрудникам учреждения культуры, планомерное увеличение средней по учреждению заработной платы;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Терновского сельского поселения в муниципальных услугах в области культуры и досуга;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Терновское сельское поселение муниципальных культурно-досуговых услуг;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pacing w:val="-5"/>
          <w:sz w:val="24"/>
          <w:szCs w:val="24"/>
          <w:lang w:eastAsia="ru-RU"/>
        </w:rPr>
      </w:pPr>
      <w:r w:rsidRPr="00D42B95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Терновское сельское поселение.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9930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1356"/>
        <w:gridCol w:w="5169"/>
      </w:tblGrid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Эс = (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услуг;Зпл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, где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уровень охвата населения культурно-досуговыми мероприятиями ; Ку – количество участников культурно-досуговых мероприятий в отчётном периоде;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Программа мероприятий приведена в таблице 1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основной цели данной подпрограммы: создание условий для эффективной работы муниципального казённого учреждения культуры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Терновского сельского поселения бюджета в сумме </w:t>
      </w:r>
      <w:r w:rsidR="009544EC">
        <w:rPr>
          <w:rFonts w:ascii="Arial" w:eastAsia="Times New Roman" w:hAnsi="Arial" w:cs="Arial"/>
          <w:sz w:val="24"/>
          <w:szCs w:val="24"/>
          <w:lang w:eastAsia="ru-RU"/>
        </w:rPr>
        <w:t xml:space="preserve">23723,9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уровень эффективности ее реализации признается неудовлетворительным.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D83ED9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tbl>
      <w:tblPr>
        <w:tblpPr w:leftFromText="180" w:rightFromText="180" w:horzAnchor="page" w:tblpX="718" w:tblpY="-255"/>
        <w:tblW w:w="16126" w:type="dxa"/>
        <w:tblLayout w:type="fixed"/>
        <w:tblLook w:val="00A0" w:firstRow="1" w:lastRow="0" w:firstColumn="1" w:lastColumn="0" w:noHBand="0" w:noVBand="0"/>
      </w:tblPr>
      <w:tblGrid>
        <w:gridCol w:w="701"/>
        <w:gridCol w:w="2951"/>
        <w:gridCol w:w="567"/>
        <w:gridCol w:w="992"/>
        <w:gridCol w:w="851"/>
        <w:gridCol w:w="850"/>
        <w:gridCol w:w="993"/>
        <w:gridCol w:w="850"/>
        <w:gridCol w:w="992"/>
        <w:gridCol w:w="851"/>
        <w:gridCol w:w="992"/>
        <w:gridCol w:w="851"/>
        <w:gridCol w:w="992"/>
        <w:gridCol w:w="20"/>
        <w:gridCol w:w="689"/>
        <w:gridCol w:w="141"/>
        <w:gridCol w:w="851"/>
        <w:gridCol w:w="142"/>
        <w:gridCol w:w="141"/>
        <w:gridCol w:w="709"/>
      </w:tblGrid>
      <w:tr w:rsidR="00C01ACE" w:rsidRPr="00D42B95" w:rsidTr="00C01ACE">
        <w:trPr>
          <w:trHeight w:val="1082"/>
        </w:trPr>
        <w:tc>
          <w:tcPr>
            <w:tcW w:w="13453" w:type="dxa"/>
            <w:gridSpan w:val="14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1Сведения о показателях (индикаторах)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поселения» и их значениях</w:t>
            </w:r>
          </w:p>
        </w:tc>
        <w:tc>
          <w:tcPr>
            <w:tcW w:w="689" w:type="dxa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01ACE">
        <w:trPr>
          <w:trHeight w:val="61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90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01ACE" w:rsidRPr="00D42B95" w:rsidTr="00C01ACE">
        <w:trPr>
          <w:trHeight w:val="5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C0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C0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C0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01AC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B4AC0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834294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834294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87D26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B4AC0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B4AC0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</w:tr>
      <w:tr w:rsidR="00C01ACE" w:rsidRPr="00D42B95" w:rsidTr="00CB4AC0">
        <w:trPr>
          <w:trHeight w:val="80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B4AC0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C01ACE" w:rsidRPr="00D42B95" w:rsidTr="00C01ACE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Терновского сельского поселения 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01ACE">
        <w:trPr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B4AC0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B4AC0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01ACE" w:rsidRPr="00D42B95" w:rsidTr="00C01ACE">
        <w:trPr>
          <w:trHeight w:val="4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B4AC0">
        <w:trPr>
          <w:trHeight w:val="5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B4AC0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01ACE" w:rsidRPr="00D42B95" w:rsidTr="00C01ACE">
        <w:trPr>
          <w:trHeight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B4AC0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Default="00CB4AC0" w:rsidP="00CB4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тыс. чел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834294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C01ACE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1F5B85" w:rsidRDefault="00834294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834294" w:rsidP="008342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</w:tr>
      <w:tr w:rsidR="00C01ACE" w:rsidRPr="00D42B95" w:rsidTr="00C01AC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01AC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</w:tr>
      <w:tr w:rsidR="00C01ACE" w:rsidRPr="00D42B95" w:rsidTr="00C01AC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476983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834294" w:rsidP="00CB4A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период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476983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83429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1F5B85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AC0" w:rsidRDefault="00CB4AC0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1F5B85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CB4AC0" w:rsidRDefault="00CB4AC0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8Деятельность главы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476983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0BD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140BD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40BD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40BD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40BD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40BD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40BD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A140BD" w:rsidP="00A140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C01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B4AC0" w:rsidRDefault="00CB4AC0" w:rsidP="00A1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01AC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 учреждений культуры «Терновской сельский культурно-досуговый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01AC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1Деятельность (оказания услуг)муниципальных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B129A8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ACE" w:rsidRPr="00D42B95" w:rsidTr="00C01AC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CB4AC0" w:rsidRDefault="00CB4AC0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1ACE" w:rsidRPr="00476983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Default="00C01AC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C0" w:rsidRDefault="00CB4AC0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  <w:p w:rsidR="00CB4AC0" w:rsidRDefault="00CB4AC0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1ACE" w:rsidRPr="00D42B95" w:rsidTr="00C01AC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CE" w:rsidRPr="00D42B95" w:rsidRDefault="00C01AC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6160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132"/>
        <w:gridCol w:w="1417"/>
        <w:gridCol w:w="1281"/>
        <w:gridCol w:w="843"/>
        <w:gridCol w:w="851"/>
        <w:gridCol w:w="850"/>
        <w:gridCol w:w="851"/>
        <w:gridCol w:w="1134"/>
        <w:gridCol w:w="854"/>
        <w:gridCol w:w="992"/>
        <w:gridCol w:w="993"/>
        <w:gridCol w:w="992"/>
        <w:gridCol w:w="993"/>
        <w:gridCol w:w="992"/>
        <w:gridCol w:w="993"/>
        <w:gridCol w:w="236"/>
        <w:gridCol w:w="756"/>
      </w:tblGrid>
      <w:tr w:rsidR="00AF5BA5" w:rsidRPr="00D42B95" w:rsidTr="00AF5BA5">
        <w:trPr>
          <w:trHeight w:val="702"/>
        </w:trPr>
        <w:tc>
          <w:tcPr>
            <w:tcW w:w="13183" w:type="dxa"/>
            <w:gridSpan w:val="13"/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2</w:t>
            </w:r>
          </w:p>
        </w:tc>
        <w:tc>
          <w:tcPr>
            <w:tcW w:w="992" w:type="dxa"/>
          </w:tcPr>
          <w:p w:rsidR="00AF5BA5" w:rsidRPr="00D42B95" w:rsidRDefault="00AF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F5BA5" w:rsidRPr="00D42B95" w:rsidRDefault="00AF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F5BA5" w:rsidRPr="00D42B95" w:rsidRDefault="00AF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F5BA5" w:rsidRPr="00D42B95" w:rsidRDefault="00AF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569"/>
        </w:trPr>
        <w:tc>
          <w:tcPr>
            <w:tcW w:w="13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0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1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196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F5BA5" w:rsidRPr="00D42B9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F5BA5" w:rsidRDefault="00AF5BA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F5BA5" w:rsidP="00AF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Терновского сельского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140BD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D660F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9D660F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2432,9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594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трация Терновского сельского поселения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3239,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4160,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3004,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5869,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8034,2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13111,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140BD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12525,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7089,5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D660F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9D660F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1932,9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«Терновской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культрно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-досуговый центр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981B0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140BD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504B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AF5BA5" w:rsidRPr="00D42B95" w:rsidTr="00AF5BA5">
        <w:trPr>
          <w:trHeight w:val="263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B12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Терновского сельского поселения по решению вопросов местного значения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BA5" w:rsidRPr="00D42B95" w:rsidRDefault="00AF5BA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011F73" w:rsidP="00011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011F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011F7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011F73" w:rsidP="00A831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1932,9</w:t>
            </w:r>
          </w:p>
        </w:tc>
      </w:tr>
      <w:tr w:rsidR="00AF5BA5" w:rsidRPr="00D42B95" w:rsidTr="00AF5BA5">
        <w:trPr>
          <w:trHeight w:val="538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BA5" w:rsidRPr="00D42B95" w:rsidRDefault="00AF5BA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538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BA5" w:rsidRPr="00D42B95" w:rsidRDefault="00AF5BA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981B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011F73" w:rsidP="00011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011F7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831AD" w:rsidRDefault="00011F73" w:rsidP="00A831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1932,9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7D6BD1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504B2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011F7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5" w:rsidRDefault="00011F7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F5BA5" w:rsidRPr="00D42B95" w:rsidTr="00AF5BA5">
        <w:trPr>
          <w:trHeight w:val="23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5BA5" w:rsidRPr="00D42B95" w:rsidTr="00011F73">
        <w:trPr>
          <w:trHeight w:val="37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7D6BD1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3A2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504B2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011F7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011F7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F5BA5" w:rsidRPr="00D42B95" w:rsidTr="00011F73">
        <w:trPr>
          <w:trHeight w:val="37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011F7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D15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F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F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504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D157FC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сельского поселения</w:t>
            </w:r>
          </w:p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  <w:r w:rsidR="00504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F5BA5" w:rsidRPr="00D42B95" w:rsidTr="00D157FC">
        <w:trPr>
          <w:trHeight w:val="37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D1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504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1AD" w:rsidRDefault="00A831AD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F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  <w:r w:rsidR="003B3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F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F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9544EC" w:rsidP="00D15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  <w:r w:rsidR="00AF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3F98" w:rsidRDefault="003B3F98" w:rsidP="003B3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3B3F98" w:rsidP="00457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="00457B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F5BA5" w:rsidRDefault="00D157F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1973,4</w:t>
            </w:r>
          </w:p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3B3F98" w:rsidP="003B3F9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3B3F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D157F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D157F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529,5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222E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D157FC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B3F98" w:rsidRDefault="00D157FC" w:rsidP="003B3F9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529,5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280,6</w:t>
            </w: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37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Терновск</w:t>
            </w: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D157FC" w:rsidP="003B3F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F98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F5BA5" w:rsidRDefault="003B3F9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280,6</w:t>
            </w:r>
          </w:p>
        </w:tc>
      </w:tr>
      <w:tr w:rsidR="00AF5BA5" w:rsidRPr="00D42B95" w:rsidTr="00AF5BA5">
        <w:trPr>
          <w:trHeight w:val="301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731FC0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</w:t>
            </w:r>
            <w:r w:rsidR="001C7AC8">
              <w:rPr>
                <w:rFonts w:ascii="Arial" w:eastAsia="Calibri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1C7A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1C7A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  <w:tr w:rsidR="00AF5BA5" w:rsidRPr="00D42B95" w:rsidTr="00AF5BA5">
        <w:trPr>
          <w:trHeight w:val="423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412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731FC0" w:rsidP="00731FC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</w:t>
            </w:r>
            <w:r w:rsidR="001C7AC8">
              <w:rPr>
                <w:rFonts w:ascii="Arial" w:eastAsia="Calibri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  <w:tr w:rsidR="00AF5BA5" w:rsidRPr="00D42B95" w:rsidTr="00AF5BA5">
        <w:trPr>
          <w:trHeight w:val="412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муниципальных учреждений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731FC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  <w:tr w:rsidR="00AF5BA5" w:rsidRPr="00D42B95" w:rsidTr="00AF5BA5">
        <w:trPr>
          <w:trHeight w:val="412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BA5" w:rsidRPr="00D42B95" w:rsidTr="00AF5BA5">
        <w:trPr>
          <w:trHeight w:val="412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5BA5" w:rsidRPr="00D42B95" w:rsidRDefault="00AF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A5" w:rsidRPr="00D42B95" w:rsidRDefault="00AF5BA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Pr="00D42B95" w:rsidRDefault="00731FC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457BC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A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A5" w:rsidRDefault="00AF5BA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br w:type="page"/>
      </w:r>
    </w:p>
    <w:tbl>
      <w:tblPr>
        <w:tblW w:w="16026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275"/>
        <w:gridCol w:w="1702"/>
        <w:gridCol w:w="986"/>
        <w:gridCol w:w="7"/>
        <w:gridCol w:w="844"/>
        <w:gridCol w:w="7"/>
        <w:gridCol w:w="843"/>
        <w:gridCol w:w="7"/>
        <w:gridCol w:w="844"/>
        <w:gridCol w:w="7"/>
        <w:gridCol w:w="843"/>
        <w:gridCol w:w="7"/>
        <w:gridCol w:w="984"/>
        <w:gridCol w:w="7"/>
        <w:gridCol w:w="844"/>
        <w:gridCol w:w="7"/>
        <w:gridCol w:w="984"/>
        <w:gridCol w:w="7"/>
        <w:gridCol w:w="984"/>
        <w:gridCol w:w="7"/>
        <w:gridCol w:w="45"/>
        <w:gridCol w:w="944"/>
        <w:gridCol w:w="7"/>
        <w:gridCol w:w="45"/>
        <w:gridCol w:w="940"/>
        <w:gridCol w:w="7"/>
        <w:gridCol w:w="45"/>
        <w:gridCol w:w="802"/>
        <w:gridCol w:w="7"/>
        <w:gridCol w:w="33"/>
        <w:gridCol w:w="952"/>
        <w:gridCol w:w="7"/>
        <w:gridCol w:w="33"/>
        <w:gridCol w:w="956"/>
        <w:gridCol w:w="7"/>
      </w:tblGrid>
      <w:tr w:rsidR="001C7AC8" w:rsidRPr="00D42B95" w:rsidTr="00457BCB">
        <w:trPr>
          <w:gridAfter w:val="2"/>
          <w:wAfter w:w="963" w:type="dxa"/>
          <w:trHeight w:val="975"/>
        </w:trPr>
        <w:tc>
          <w:tcPr>
            <w:tcW w:w="11241" w:type="dxa"/>
            <w:gridSpan w:val="21"/>
            <w:vAlign w:val="center"/>
          </w:tcPr>
          <w:p w:rsidR="001C7AC8" w:rsidRPr="00D42B95" w:rsidRDefault="001C7AC8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3</w:t>
            </w:r>
          </w:p>
          <w:p w:rsidR="001C7AC8" w:rsidRPr="00D42B95" w:rsidRDefault="001C7AC8" w:rsidP="00D4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Терновского сельского поселения</w:t>
            </w:r>
          </w:p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</w:tcPr>
          <w:p w:rsidR="001C7AC8" w:rsidRPr="00D42B95" w:rsidRDefault="001C7AC8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1C7AC8" w:rsidRPr="00D42B95" w:rsidRDefault="001C7AC8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3"/>
          </w:tcPr>
          <w:p w:rsidR="001C7AC8" w:rsidRPr="00D42B95" w:rsidRDefault="001C7AC8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1C7AC8" w:rsidRPr="00D42B95" w:rsidRDefault="001C7AC8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58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205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1C7AC8" w:rsidRPr="00D42B95" w:rsidTr="00457BCB">
        <w:trPr>
          <w:trHeight w:val="49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1C7AC8" w:rsidRPr="00D42B95" w:rsidTr="00457BCB">
        <w:trPr>
          <w:trHeight w:val="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Терновского сельского поселения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731FC0" w:rsidP="00731F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14364,5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Default="00461081" w:rsidP="00457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  <w:r w:rsidR="00457B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Default="00731FC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C7AC8" w:rsidRDefault="00731FC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2432,9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731FC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C6F31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731FC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FD18E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731FC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163,8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731FC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FD18E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C7AC8" w:rsidP="00FD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FD18E3" w:rsidP="00FD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6236,8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6441,5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9381,3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9521,1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8428,8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AC8" w:rsidRPr="00D42B95" w:rsidRDefault="00731FC0" w:rsidP="00FD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8206,2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AC8" w:rsidRDefault="00457BCB" w:rsidP="0045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8738,4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AC8" w:rsidRDefault="00731FC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2240,1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FD18E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731FC0" w:rsidP="00FD1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2234,1</w:t>
            </w:r>
          </w:p>
        </w:tc>
      </w:tr>
      <w:tr w:rsidR="001C7AC8" w:rsidRPr="00D42B95" w:rsidTr="00457BCB">
        <w:trPr>
          <w:trHeight w:val="33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45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 по решению вопросов местного 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222E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12525,3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C40D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40D0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D18E3" w:rsidRDefault="00461081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1932,9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61081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40D0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FD18E3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C40D0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163,8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FD1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FD18E3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E3" w:rsidRDefault="00FD18E3" w:rsidP="00FD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FD18E3" w:rsidP="00FD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3343,5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4093,0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4118,3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7238,5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7501,9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6692,8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6367,0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457BC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6809,3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40D0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D18E3" w:rsidRDefault="00FD18E3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D18E3" w:rsidRDefault="00C40D0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1734,1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7D6BD1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61081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40D0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C40D0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163,8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7D6BD1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61081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40D0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FD18E3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8E3" w:rsidRDefault="00C40D0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163,8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FD18E3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C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E3" w:rsidRDefault="00457BCB" w:rsidP="0045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33FB5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C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FB5" w:rsidRDefault="00C33FB5" w:rsidP="00457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33FB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FB5" w:rsidRDefault="00C33FB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5C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1715,0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40D0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2080,9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33FB5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C33FB5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C33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FB5" w:rsidRDefault="00C33FB5" w:rsidP="00C33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1341,2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C33FB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FB5" w:rsidRDefault="00C33FB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FB5" w:rsidRDefault="00C33FB5" w:rsidP="00C33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2727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72727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727" w:rsidRDefault="00172727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4508" w:rsidRDefault="00E74508" w:rsidP="00172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7AC8" w:rsidRDefault="00172727" w:rsidP="00172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 градостроительной деятельности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C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2727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C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2727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2727" w:rsidRDefault="00172727" w:rsidP="00172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0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1973,4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72727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7AC8" w:rsidRPr="00D42B95" w:rsidTr="00457BCB">
        <w:trPr>
          <w:trHeight w:val="796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</w:t>
            </w:r>
            <w:r w:rsidR="00852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735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E74508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1C7AC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72727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72727" w:rsidRDefault="0017272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46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ИЯТИЕ 7</w:t>
            </w:r>
          </w:p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Деятельность органов местного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самоуправления по реализации муниципальной программы</w:t>
            </w:r>
          </w:p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8520C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61081" w:rsidP="00457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457B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8520C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522BB" w:rsidRDefault="008520C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</w:t>
            </w:r>
            <w:r w:rsidR="000522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0522B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1459,1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8520C5" w:rsidP="00006F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1631,2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8520C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522BB" w:rsidRDefault="000522B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522BB" w:rsidRDefault="008520C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529,5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8520C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0522B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522BB" w:rsidRDefault="000522B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280,6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8520C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0522B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522BB" w:rsidRDefault="000522B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522BB" w:rsidRDefault="000522BB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280,6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8520C5" w:rsidP="008520C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46108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0522B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522BB" w:rsidRDefault="000522BB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1642,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2051,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3151,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1745,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2142,8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990AF5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</w:t>
            </w:r>
            <w:r w:rsidR="000522BB">
              <w:rPr>
                <w:rFonts w:ascii="Arial" w:eastAsia="Calibri" w:hAnsi="Arial" w:cs="Arial"/>
                <w:sz w:val="24"/>
                <w:szCs w:val="24"/>
              </w:rPr>
              <w:t>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0522B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0522BB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0522BB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  <w:tr w:rsidR="001C7AC8" w:rsidRPr="00D42B95" w:rsidTr="00457BCB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trHeight w:val="62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gridAfter w:val="1"/>
          <w:wAfter w:w="7" w:type="dxa"/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gridAfter w:val="1"/>
          <w:wAfter w:w="7" w:type="dxa"/>
          <w:trHeight w:val="3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(оказание услуг) муниципальных учреждений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990AF5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46108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0522BB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522BB" w:rsidRDefault="000522BB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522BB" w:rsidRDefault="000522BB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  <w:tr w:rsidR="001C7AC8" w:rsidRPr="00D42B95" w:rsidTr="00457BCB">
        <w:trPr>
          <w:gridAfter w:val="1"/>
          <w:wAfter w:w="7" w:type="dxa"/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gridAfter w:val="1"/>
          <w:wAfter w:w="7" w:type="dxa"/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gridAfter w:val="1"/>
          <w:wAfter w:w="7" w:type="dxa"/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gridAfter w:val="1"/>
          <w:wAfter w:w="7" w:type="dxa"/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990AF5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457BCB" w:rsidP="006609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Default="0073435D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Default="001C7AC8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3435D" w:rsidRDefault="0073435D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</w:tr>
      <w:tr w:rsidR="001C7AC8" w:rsidRPr="00D42B95" w:rsidTr="00457BCB">
        <w:trPr>
          <w:gridAfter w:val="1"/>
          <w:wAfter w:w="7" w:type="dxa"/>
          <w:trHeight w:val="30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C8" w:rsidRPr="00D42B95" w:rsidTr="00457BCB">
        <w:trPr>
          <w:gridAfter w:val="1"/>
          <w:wAfter w:w="7" w:type="dxa"/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8" w:rsidRPr="00D42B95" w:rsidRDefault="001C7AC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AC8" w:rsidRPr="00D42B95" w:rsidRDefault="001C7AC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8" w:rsidRPr="00D42B95" w:rsidRDefault="001C7AC8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Calibri" w:eastAsia="Calibri" w:hAnsi="Calibri" w:cs="Arial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tbl>
      <w:tblPr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835"/>
        <w:gridCol w:w="1843"/>
        <w:gridCol w:w="1276"/>
        <w:gridCol w:w="1134"/>
        <w:gridCol w:w="1984"/>
        <w:gridCol w:w="1408"/>
        <w:gridCol w:w="1569"/>
      </w:tblGrid>
      <w:tr w:rsidR="00D42B95" w:rsidRPr="00D42B95" w:rsidTr="006B5BDD">
        <w:trPr>
          <w:trHeight w:val="1305"/>
        </w:trPr>
        <w:tc>
          <w:tcPr>
            <w:tcW w:w="14601" w:type="dxa"/>
            <w:gridSpan w:val="9"/>
            <w:vAlign w:val="center"/>
            <w:hideMark/>
          </w:tcPr>
          <w:p w:rsidR="00D42B95" w:rsidRPr="00D42B95" w:rsidRDefault="00D42B95" w:rsidP="009D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343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2E9" w:rsidRPr="00D42B95" w:rsidTr="00C26407">
        <w:trPr>
          <w:trHeight w:val="4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мероприятия( Ф.И.О., должность исполнителя)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предусмотренные Решением Совета народных депутатов Терновского сельского поселения о местном бюджете, на год (тыс.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2442E9" w:rsidRPr="00D42B95" w:rsidTr="00C26407">
        <w:trPr>
          <w:trHeight w:val="58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очередном финансовом году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442E9" w:rsidRPr="00D42B95" w:rsidTr="00C26407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«Обеспечение решения вопросов местного значения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Терновского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Создание на территории поселения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благоприятных и безопасных условий для жизни, работы и отдыха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D2B29" w:rsidP="00457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7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9018,6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457BCB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7089,5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461081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(Мамонова Г.А.- ведущий специалист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требованиями.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91402030110151180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461081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457BCB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554,4</w:t>
            </w:r>
          </w:p>
        </w:tc>
      </w:tr>
      <w:tr w:rsidR="006D2B2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29" w:rsidRPr="00D42B95" w:rsidRDefault="006D2B29" w:rsidP="006D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29" w:rsidRPr="00D42B95" w:rsidRDefault="006D2B29" w:rsidP="006D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29" w:rsidRPr="00D42B95" w:rsidRDefault="00461081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2B2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29" w:rsidRPr="00D42B95" w:rsidRDefault="006D2B29" w:rsidP="006D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29" w:rsidRPr="00D42B95" w:rsidRDefault="006D2B29" w:rsidP="006D2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29" w:rsidRPr="00D42B95" w:rsidRDefault="006D2B2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91403100110291440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29" w:rsidRPr="00D42B95" w:rsidRDefault="00457BCB" w:rsidP="00457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554,4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457BCB" w:rsidP="0066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C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</w:t>
            </w:r>
            <w:r w:rsidR="006D2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Оплачиваемые общественные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2442E9" w:rsidRPr="00292BEB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39 светильников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292BEB" w:rsidRDefault="001C481D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161,8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(4200кв.м);организация сбора и вывоза твердых бытовых отходов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45,1</w:t>
            </w:r>
          </w:p>
        </w:tc>
      </w:tr>
      <w:tr w:rsidR="002442E9" w:rsidRPr="00CA0E9C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обеспечение комплексного  развития сельских территорий (создание и развитие инфраструктуры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территориях)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площадок ТКО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292BEB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CA0E9C" w:rsidRDefault="006D2B2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 развития сельских территорий (создание и развитие инфраструктуры на сельских территориях)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D2B2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смотровой площадки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C5DF3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ED6404" w:rsidRDefault="004675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реализацию проекта по поддержке местных 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«Благоустройство территории сельских поселений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BF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</w:t>
            </w:r>
            <w:r w:rsidR="00BF2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C2640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дороги по программе инициативного бюджетирования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4675A4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BF2AE8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609B7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9B7" w:rsidRPr="00D42B95" w:rsidRDefault="006609B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Default="006609B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Default="00DE2DF5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Pr="00D42B95" w:rsidRDefault="006609B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0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(Черникова В.В.-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Pr="00D42B95" w:rsidRDefault="006609B7" w:rsidP="0066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Pr="00D42B95" w:rsidRDefault="006609B7" w:rsidP="0066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Default="006609B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Default="00DE2DF5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B7" w:rsidRDefault="00B1389C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ED6404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2517,7</w:t>
            </w:r>
          </w:p>
        </w:tc>
      </w:tr>
      <w:tr w:rsidR="002442E9" w:rsidRPr="00D42B95" w:rsidTr="00C26407">
        <w:trPr>
          <w:trHeight w:val="3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</w:t>
            </w:r>
            <w:proofErr w:type="spellEnd"/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1500пог.м. автомобильной дороги общего</w:t>
            </w:r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местного значения по ул. Советская 851пог.м. пер. Голубец 600пог.м.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2517,7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2BB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577,1</w:t>
            </w: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на реализацию проектов при поддержке местных инициатив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F696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 ремонту водопроводных сетей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1B406B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577,1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1749,8</w:t>
            </w:r>
          </w:p>
        </w:tc>
      </w:tr>
      <w:tr w:rsidR="002442E9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456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</w:t>
            </w:r>
            <w:r w:rsidR="004567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BF2AE8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Черникова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1 доплаты к пенсиям муниципальны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служащих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91410010110790470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231,1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предоставленные другим бюджетам бюджетной системы РФ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5658A5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2442E9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E9" w:rsidRPr="001536A2" w:rsidRDefault="002442E9" w:rsidP="002442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 xml:space="preserve">Расходы на приобретение автотранспорта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5658A5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735BB9" w:rsidRDefault="00735BB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35BB9" w:rsidRDefault="00735BB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1070,5</w:t>
            </w:r>
          </w:p>
        </w:tc>
      </w:tr>
      <w:tr w:rsidR="00513E07" w:rsidRPr="00D42B95" w:rsidTr="00513E07">
        <w:trPr>
          <w:trHeight w:val="2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</w:p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862DD0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862DD0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E07" w:rsidRPr="00D42B95" w:rsidRDefault="001C481D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1070,5</w:t>
            </w:r>
          </w:p>
        </w:tc>
      </w:tr>
      <w:tr w:rsidR="002442E9" w:rsidRPr="00D42B95" w:rsidTr="00C26407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 «Терновской сельский 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C481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1929,1</w:t>
            </w:r>
          </w:p>
        </w:tc>
      </w:tr>
      <w:tr w:rsidR="002442E9" w:rsidRPr="00D42B95" w:rsidTr="00C26407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Деятельность(оказание услуг)муниципальных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«Терновской сельский культурно-досуговый центр» (Алехин Н.П.- директор)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862DD0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E07" w:rsidRPr="00D42B95" w:rsidRDefault="001C481D" w:rsidP="0051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1929,1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A2713B" w:rsidRDefault="00A2713B"/>
    <w:sectPr w:rsidR="00A2713B" w:rsidSect="000C7B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7" w:right="567" w:bottom="1701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33" w:rsidRDefault="00B90933" w:rsidP="00D42B95">
      <w:pPr>
        <w:spacing w:after="0" w:line="240" w:lineRule="auto"/>
      </w:pPr>
      <w:r>
        <w:separator/>
      </w:r>
    </w:p>
  </w:endnote>
  <w:endnote w:type="continuationSeparator" w:id="0">
    <w:p w:rsidR="00B90933" w:rsidRDefault="00B90933" w:rsidP="00D4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33" w:rsidRDefault="00B90933" w:rsidP="00D42B95">
      <w:pPr>
        <w:spacing w:after="0" w:line="240" w:lineRule="auto"/>
      </w:pPr>
      <w:r>
        <w:separator/>
      </w:r>
    </w:p>
  </w:footnote>
  <w:footnote w:type="continuationSeparator" w:id="0">
    <w:p w:rsidR="00B90933" w:rsidRDefault="00B90933" w:rsidP="00D42B95">
      <w:pPr>
        <w:spacing w:after="0" w:line="240" w:lineRule="auto"/>
      </w:pPr>
      <w:r>
        <w:continuationSeparator/>
      </w:r>
    </w:p>
  </w:footnote>
  <w:footnote w:id="1">
    <w:p w:rsidR="002C705A" w:rsidRDefault="002C705A" w:rsidP="0096587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Pr="00862A4C" w:rsidRDefault="002C705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5A" w:rsidRDefault="002C70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FD0FD9"/>
    <w:multiLevelType w:val="multilevel"/>
    <w:tmpl w:val="63BA4BC4"/>
    <w:lvl w:ilvl="0">
      <w:start w:val="1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6"/>
    <w:rsid w:val="00006F10"/>
    <w:rsid w:val="00011F73"/>
    <w:rsid w:val="0001509E"/>
    <w:rsid w:val="00032822"/>
    <w:rsid w:val="00043741"/>
    <w:rsid w:val="000522BB"/>
    <w:rsid w:val="0005644B"/>
    <w:rsid w:val="00057A51"/>
    <w:rsid w:val="0006166F"/>
    <w:rsid w:val="000626FE"/>
    <w:rsid w:val="000A2F2D"/>
    <w:rsid w:val="000C01DF"/>
    <w:rsid w:val="000C7B5E"/>
    <w:rsid w:val="00104E59"/>
    <w:rsid w:val="0011070E"/>
    <w:rsid w:val="00111ED4"/>
    <w:rsid w:val="00114548"/>
    <w:rsid w:val="00146BAE"/>
    <w:rsid w:val="001664BD"/>
    <w:rsid w:val="00172727"/>
    <w:rsid w:val="00176A3F"/>
    <w:rsid w:val="00191337"/>
    <w:rsid w:val="0019577F"/>
    <w:rsid w:val="001A0CAD"/>
    <w:rsid w:val="001B406B"/>
    <w:rsid w:val="001C156D"/>
    <w:rsid w:val="001C481D"/>
    <w:rsid w:val="001C6F31"/>
    <w:rsid w:val="001C76C8"/>
    <w:rsid w:val="001C7AC8"/>
    <w:rsid w:val="001D0779"/>
    <w:rsid w:val="001E7EBD"/>
    <w:rsid w:val="001F5B85"/>
    <w:rsid w:val="00213CA0"/>
    <w:rsid w:val="00222E70"/>
    <w:rsid w:val="00235BBB"/>
    <w:rsid w:val="00242479"/>
    <w:rsid w:val="002442E9"/>
    <w:rsid w:val="00245BEA"/>
    <w:rsid w:val="00250BB8"/>
    <w:rsid w:val="00291660"/>
    <w:rsid w:val="00292BEB"/>
    <w:rsid w:val="002A5308"/>
    <w:rsid w:val="002A7564"/>
    <w:rsid w:val="002B2CC1"/>
    <w:rsid w:val="002C705A"/>
    <w:rsid w:val="002D3235"/>
    <w:rsid w:val="002E6FEF"/>
    <w:rsid w:val="003225C4"/>
    <w:rsid w:val="0033034C"/>
    <w:rsid w:val="00346B3E"/>
    <w:rsid w:val="003511AC"/>
    <w:rsid w:val="00385D80"/>
    <w:rsid w:val="0039279B"/>
    <w:rsid w:val="00392EDE"/>
    <w:rsid w:val="003A2CC3"/>
    <w:rsid w:val="003B164E"/>
    <w:rsid w:val="003B3F98"/>
    <w:rsid w:val="003B434B"/>
    <w:rsid w:val="003C2B0B"/>
    <w:rsid w:val="003C3354"/>
    <w:rsid w:val="00400DEB"/>
    <w:rsid w:val="0040600A"/>
    <w:rsid w:val="004162D9"/>
    <w:rsid w:val="004165E9"/>
    <w:rsid w:val="00437DA5"/>
    <w:rsid w:val="0044415A"/>
    <w:rsid w:val="00453B62"/>
    <w:rsid w:val="00456763"/>
    <w:rsid w:val="00457BCB"/>
    <w:rsid w:val="00461081"/>
    <w:rsid w:val="004675A4"/>
    <w:rsid w:val="00476983"/>
    <w:rsid w:val="00477F7B"/>
    <w:rsid w:val="004B1A3C"/>
    <w:rsid w:val="004D0285"/>
    <w:rsid w:val="004D395E"/>
    <w:rsid w:val="004E777C"/>
    <w:rsid w:val="00504B23"/>
    <w:rsid w:val="00512ABC"/>
    <w:rsid w:val="00513E07"/>
    <w:rsid w:val="00526E1C"/>
    <w:rsid w:val="00562B64"/>
    <w:rsid w:val="00562FF0"/>
    <w:rsid w:val="00564F22"/>
    <w:rsid w:val="005658A5"/>
    <w:rsid w:val="005709F7"/>
    <w:rsid w:val="00576504"/>
    <w:rsid w:val="00593C50"/>
    <w:rsid w:val="00595A6D"/>
    <w:rsid w:val="005A33DA"/>
    <w:rsid w:val="005A5E14"/>
    <w:rsid w:val="005C061B"/>
    <w:rsid w:val="005D06DA"/>
    <w:rsid w:val="005D2566"/>
    <w:rsid w:val="005D798C"/>
    <w:rsid w:val="005E1296"/>
    <w:rsid w:val="005E3646"/>
    <w:rsid w:val="00614E1D"/>
    <w:rsid w:val="00625D71"/>
    <w:rsid w:val="006272C2"/>
    <w:rsid w:val="00644289"/>
    <w:rsid w:val="00645E4F"/>
    <w:rsid w:val="00650DA9"/>
    <w:rsid w:val="0065214D"/>
    <w:rsid w:val="006609B7"/>
    <w:rsid w:val="00671908"/>
    <w:rsid w:val="00672D2D"/>
    <w:rsid w:val="00673197"/>
    <w:rsid w:val="006750FA"/>
    <w:rsid w:val="0067642E"/>
    <w:rsid w:val="00685ACD"/>
    <w:rsid w:val="006A5314"/>
    <w:rsid w:val="006A7A1D"/>
    <w:rsid w:val="006B5BDD"/>
    <w:rsid w:val="006C134B"/>
    <w:rsid w:val="006C74DF"/>
    <w:rsid w:val="006D2B29"/>
    <w:rsid w:val="006E370B"/>
    <w:rsid w:val="006E7B34"/>
    <w:rsid w:val="00701F4E"/>
    <w:rsid w:val="007107AB"/>
    <w:rsid w:val="00711578"/>
    <w:rsid w:val="00711DB5"/>
    <w:rsid w:val="00731FC0"/>
    <w:rsid w:val="0073435D"/>
    <w:rsid w:val="00735ACA"/>
    <w:rsid w:val="00735BB9"/>
    <w:rsid w:val="00736465"/>
    <w:rsid w:val="0074039E"/>
    <w:rsid w:val="00756BC7"/>
    <w:rsid w:val="007824EB"/>
    <w:rsid w:val="007919EA"/>
    <w:rsid w:val="007929A0"/>
    <w:rsid w:val="007D6B41"/>
    <w:rsid w:val="007D6BD1"/>
    <w:rsid w:val="007E0535"/>
    <w:rsid w:val="007E5821"/>
    <w:rsid w:val="007F696D"/>
    <w:rsid w:val="00803952"/>
    <w:rsid w:val="00807E61"/>
    <w:rsid w:val="008138CE"/>
    <w:rsid w:val="008152E7"/>
    <w:rsid w:val="00834294"/>
    <w:rsid w:val="00840799"/>
    <w:rsid w:val="00847639"/>
    <w:rsid w:val="008520C5"/>
    <w:rsid w:val="008534B1"/>
    <w:rsid w:val="00855962"/>
    <w:rsid w:val="00862A4C"/>
    <w:rsid w:val="00862DD0"/>
    <w:rsid w:val="00872FF1"/>
    <w:rsid w:val="008B2EEC"/>
    <w:rsid w:val="008C0AC6"/>
    <w:rsid w:val="008C6DAD"/>
    <w:rsid w:val="008D6BF2"/>
    <w:rsid w:val="00906590"/>
    <w:rsid w:val="00945784"/>
    <w:rsid w:val="009477F7"/>
    <w:rsid w:val="00950965"/>
    <w:rsid w:val="009544EC"/>
    <w:rsid w:val="00957EDD"/>
    <w:rsid w:val="00962B94"/>
    <w:rsid w:val="0096587B"/>
    <w:rsid w:val="00965E4B"/>
    <w:rsid w:val="00971A6A"/>
    <w:rsid w:val="00974D32"/>
    <w:rsid w:val="00981B00"/>
    <w:rsid w:val="00990AF5"/>
    <w:rsid w:val="009914A3"/>
    <w:rsid w:val="0099260D"/>
    <w:rsid w:val="00997E27"/>
    <w:rsid w:val="009D26A2"/>
    <w:rsid w:val="009D660F"/>
    <w:rsid w:val="009E576C"/>
    <w:rsid w:val="00A02831"/>
    <w:rsid w:val="00A06ED0"/>
    <w:rsid w:val="00A140BD"/>
    <w:rsid w:val="00A245E5"/>
    <w:rsid w:val="00A26F4B"/>
    <w:rsid w:val="00A2713B"/>
    <w:rsid w:val="00A319C6"/>
    <w:rsid w:val="00A43373"/>
    <w:rsid w:val="00A57A55"/>
    <w:rsid w:val="00A658DE"/>
    <w:rsid w:val="00A732E2"/>
    <w:rsid w:val="00A77C7F"/>
    <w:rsid w:val="00A831AD"/>
    <w:rsid w:val="00AA22E3"/>
    <w:rsid w:val="00AA62F5"/>
    <w:rsid w:val="00AC0D34"/>
    <w:rsid w:val="00AC54DD"/>
    <w:rsid w:val="00AD0ABC"/>
    <w:rsid w:val="00AD1900"/>
    <w:rsid w:val="00AD6EEF"/>
    <w:rsid w:val="00AF4264"/>
    <w:rsid w:val="00AF5BA5"/>
    <w:rsid w:val="00B11D32"/>
    <w:rsid w:val="00B129A8"/>
    <w:rsid w:val="00B1389C"/>
    <w:rsid w:val="00B170F0"/>
    <w:rsid w:val="00B2284E"/>
    <w:rsid w:val="00B30860"/>
    <w:rsid w:val="00B35433"/>
    <w:rsid w:val="00B56B6F"/>
    <w:rsid w:val="00B57DC2"/>
    <w:rsid w:val="00B90933"/>
    <w:rsid w:val="00BA0599"/>
    <w:rsid w:val="00BC3D52"/>
    <w:rsid w:val="00BD5AF4"/>
    <w:rsid w:val="00BD72E8"/>
    <w:rsid w:val="00BE2C84"/>
    <w:rsid w:val="00BE6C6A"/>
    <w:rsid w:val="00BF2AE8"/>
    <w:rsid w:val="00C01ACE"/>
    <w:rsid w:val="00C04692"/>
    <w:rsid w:val="00C26407"/>
    <w:rsid w:val="00C33FB5"/>
    <w:rsid w:val="00C35758"/>
    <w:rsid w:val="00C36EEE"/>
    <w:rsid w:val="00C40D0B"/>
    <w:rsid w:val="00C42C2E"/>
    <w:rsid w:val="00C4497E"/>
    <w:rsid w:val="00C458A1"/>
    <w:rsid w:val="00C51BB8"/>
    <w:rsid w:val="00C53FA0"/>
    <w:rsid w:val="00C61B48"/>
    <w:rsid w:val="00C85DD0"/>
    <w:rsid w:val="00C87D26"/>
    <w:rsid w:val="00C87DB5"/>
    <w:rsid w:val="00CA0E9C"/>
    <w:rsid w:val="00CB4AC0"/>
    <w:rsid w:val="00CD0B37"/>
    <w:rsid w:val="00CE78A3"/>
    <w:rsid w:val="00CF63F5"/>
    <w:rsid w:val="00D07F7B"/>
    <w:rsid w:val="00D157FC"/>
    <w:rsid w:val="00D15BA5"/>
    <w:rsid w:val="00D324A6"/>
    <w:rsid w:val="00D34E07"/>
    <w:rsid w:val="00D42B95"/>
    <w:rsid w:val="00D51D91"/>
    <w:rsid w:val="00D83ED9"/>
    <w:rsid w:val="00D95B2F"/>
    <w:rsid w:val="00DC5DF3"/>
    <w:rsid w:val="00DD7E34"/>
    <w:rsid w:val="00DE2DF5"/>
    <w:rsid w:val="00E017BB"/>
    <w:rsid w:val="00E04B4F"/>
    <w:rsid w:val="00E74508"/>
    <w:rsid w:val="00E8025E"/>
    <w:rsid w:val="00E80BB7"/>
    <w:rsid w:val="00E85A7A"/>
    <w:rsid w:val="00E86C87"/>
    <w:rsid w:val="00EA2B86"/>
    <w:rsid w:val="00EA65B4"/>
    <w:rsid w:val="00EB695C"/>
    <w:rsid w:val="00ED37E2"/>
    <w:rsid w:val="00ED6404"/>
    <w:rsid w:val="00EF1F26"/>
    <w:rsid w:val="00EF3F93"/>
    <w:rsid w:val="00EF42C9"/>
    <w:rsid w:val="00F13CAA"/>
    <w:rsid w:val="00F31B42"/>
    <w:rsid w:val="00F40ACC"/>
    <w:rsid w:val="00F81BB8"/>
    <w:rsid w:val="00F86DA1"/>
    <w:rsid w:val="00F9257E"/>
    <w:rsid w:val="00F9554F"/>
    <w:rsid w:val="00FA2074"/>
    <w:rsid w:val="00FA72BB"/>
    <w:rsid w:val="00FB07BE"/>
    <w:rsid w:val="00FC105D"/>
    <w:rsid w:val="00FC149D"/>
    <w:rsid w:val="00FD18E3"/>
    <w:rsid w:val="00FD2043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76B6-8287-492C-B4E5-F0F9DC1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13028</Words>
  <Characters>74265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11</cp:revision>
  <cp:lastPrinted>2021-09-20T05:30:00Z</cp:lastPrinted>
  <dcterms:created xsi:type="dcterms:W3CDTF">2024-05-06T05:12:00Z</dcterms:created>
  <dcterms:modified xsi:type="dcterms:W3CDTF">2025-01-16T06:17:00Z</dcterms:modified>
</cp:coreProperties>
</file>